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9.png" ContentType="image/png"/>
  <Override PartName="/word/media/rId57.png" ContentType="image/png"/>
  <Override PartName="/word/media/rId26.png" ContentType="image/png"/>
  <Override PartName="/word/media/rId27.png" ContentType="image/png"/>
  <Override PartName="/word/media/rId90.png" ContentType="image/png"/>
  <Override PartName="/word/media/rId92.png" ContentType="image/png"/>
  <Override PartName="/word/media/rId91.png" ContentType="image/png"/>
  <Override PartName="/word/media/rId121.png" ContentType="image/png"/>
  <Override PartName="/word/media/rId123.png" ContentType="image/png"/>
  <Override PartName="/word/media/rId124.png" ContentType="image/png"/>
  <Override PartName="/word/media/rId128.png" ContentType="image/png"/>
  <Override PartName="/word/media/rId134.png" ContentType="image/png"/>
  <Override PartName="/word/media/rId132.png" ContentType="image/png"/>
  <Override PartName="/word/media/rId126.png" ContentType="image/png"/>
  <Override PartName="/word/media/rId130.png" ContentType="image/png"/>
  <Override PartName="/word/media/rId29.png" ContentType="image/png"/>
  <Override PartName="/word/media/rId60.png" ContentType="image/png"/>
  <Override PartName="/word/media/rId28.png" ContentType="image/png"/>
  <Override PartName="/word/media/rId58.png" ContentType="image/png"/>
  <Override PartName="/word/media/rId25.png" ContentType="image/png"/>
  <Override PartName="/word/media/rId78.png" ContentType="image/png"/>
  <Override PartName="/word/media/rId7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presentaatiossa,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kannattiko automaatille menoa lykätä juomien jäähtymiseen asti vai oliko kylmää kolaa saatavilla saman tien.</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5"/>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 ITRON (industrial TRON) ja BTRON (business TRON) voidaan yhdistää tiedostopalvelimeen CTRON eri tavoilla</w:t>
      </w:r>
    </w:p>
    <w:p>
      <w:pPr>
        <w:pStyle w:val="BodyText"/>
      </w:pPr>
      <w:r>
        <w:t xml:space="preserve">Muita kirjallisuudessa mainittuja IoT:n historian tapahtumia ovat olleen muiden muassa</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p>
    <w:p>
      <w:pPr>
        <w:pStyle w:val="BodyText"/>
      </w:pPr>
      <w:r>
        <w:rPr>
          <w:i/>
        </w:rPr>
        <w:t xml:space="preserve">Anturiverkkojen keskeinen asema mobiilin tietojenkäsittelyn ja tietoliikenteen osana on mainittu useissa kansainvälisissä konferensseissa</w:t>
      </w:r>
      <w:r>
        <w:rPr>
          <w:i/>
        </w:rPr>
        <w:t xml:space="preserve"> </w:t>
      </w:r>
      <w:r>
        <w:rPr>
          <w:i/>
        </w:rPr>
        <w:t xml:space="preserve">(Tao et al. 2016)</w:t>
      </w:r>
    </w:p>
    <w:p>
      <w:pPr>
        <w:pStyle w:val="BodyText"/>
      </w:pPr>
      <w:r>
        <w:t xml:space="preserve">IoT:lle on esitetty useita erilaisia määritelmiä.</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w:t>
      </w:r>
    </w:p>
    <w:p>
      <w:pPr>
        <w:pStyle w:val="BodyText"/>
      </w:pPr>
      <w:r>
        <w:t xml:space="preserve">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w:t>
      </w:r>
      <w:r>
        <w:t xml:space="preserve"> </w:t>
      </w:r>
      <w:r>
        <w:t xml:space="preserve">(Atzori, Iera &amp; Morabito 2010)</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w:t>
      </w:r>
    </w:p>
    <w:p>
      <w:pPr>
        <w:pStyle w:val="BodyText"/>
      </w:pPr>
      <w:r>
        <w:t xml:space="preserve">Määrittelyjen lisäksi IoT:tä voidaan luonnehtia myös sen ominaispiirteiden avulla, joihin kuuluvat:</w:t>
      </w:r>
      <w:r>
        <w:t xml:space="preserve"> </w:t>
      </w:r>
      <w:r>
        <w:t xml:space="preserve">(Tao et al. 2016)</w:t>
      </w:r>
      <w:r>
        <w:t xml:space="preserve"> </w:t>
      </w:r>
      <w:r>
        <w:t xml:space="preserve">*</w:t>
      </w:r>
      <w:r>
        <w:t xml:space="preserve"> </w:t>
      </w:r>
      <w:r>
        <w:rPr>
          <w:b/>
        </w:rPr>
        <w:t xml:space="preserve">Avoimuus</w:t>
      </w:r>
      <w:r>
        <w:t xml:space="preserve">, jonka avulla kolmannet osapuolet voivat kehittää rajapintoihin perustuvia uusia palveluita</w:t>
      </w:r>
      <w:r>
        <w:t xml:space="preserve"> </w:t>
      </w:r>
      <w:r>
        <w:t xml:space="preserve">*</w:t>
      </w:r>
      <w:r>
        <w:t xml:space="preserve"> </w:t>
      </w:r>
      <w:r>
        <w:rPr>
          <w:b/>
        </w:rPr>
        <w:t xml:space="preserve">3C</w:t>
      </w:r>
      <w:r>
        <w:t xml:space="preserve">-teknologiayhdistelmä (engl. Communication, Cloud computing, Control) joka mahdollistaa havainnoinnin, keinoälyn, automaation ja edistyneiden tietoliikenneteknologioiden yhteistoiminnan</w:t>
      </w:r>
      <w:r>
        <w:t xml:space="preserve"> </w:t>
      </w:r>
      <w:r>
        <w:t xml:space="preserve">*</w:t>
      </w:r>
      <w:r>
        <w:t xml:space="preserve"> </w:t>
      </w:r>
      <w:r>
        <w:rPr>
          <w:b/>
        </w:rPr>
        <w:t xml:space="preserve">Kompleksisuus</w:t>
      </w:r>
      <w:r>
        <w:t xml:space="preserve">, jolla materiaalien, energian ja tiedon virtaukset muodostavat yhteiskäyttöisiä verkostoja</w:t>
      </w:r>
      <w:r>
        <w:t xml:space="preserve"> </w:t>
      </w:r>
      <w:r>
        <w:t xml:space="preserve">*</w:t>
      </w:r>
      <w:r>
        <w:t xml:space="preserve"> </w:t>
      </w: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r>
        <w:t xml:space="preserve"> </w:t>
      </w:r>
      <w:r>
        <w:t xml:space="preserve">*</w:t>
      </w:r>
      <w:r>
        <w:t xml:space="preserve"> </w:t>
      </w:r>
      <w:r>
        <w:rPr>
          <w:b/>
        </w:rPr>
        <w:t xml:space="preserve">Yhteentoimivuus</w:t>
      </w:r>
      <w:r>
        <w:t xml:space="preserve">, joka IoT-ratkaisuissa mahdollistaa yhteistoiminnan suurelle määrälle heterogeenisiä laitteita ja teknologioita</w:t>
      </w:r>
      <w:r>
        <w:t xml:space="preserve"> </w:t>
      </w:r>
      <w:r>
        <w:t xml:space="preserve">*</w:t>
      </w:r>
      <w:r>
        <w:t xml:space="preserve"> </w:t>
      </w:r>
      <w:r>
        <w:rPr>
          <w:b/>
        </w:rPr>
        <w:t xml:space="preserve">Skaalautuvuus</w:t>
      </w:r>
      <w:r>
        <w:t xml:space="preserve"> </w:t>
      </w:r>
      <w:r>
        <w:t xml:space="preserve">ja laajennettavuus, jotka on otettava huomioon IoT-järjestelmien suunnittelussa jatkuvasti tuotettavan datan suuren määrän takia</w:t>
      </w:r>
      <w:r>
        <w:t xml:space="preserve"> </w:t>
      </w:r>
      <w:r>
        <w:t xml:space="preserve">*</w:t>
      </w:r>
      <w:r>
        <w:t xml:space="preserve"> </w:t>
      </w:r>
      <w:r>
        <w:rPr>
          <w:b/>
        </w:rPr>
        <w:t xml:space="preserve">Dynamiikka</w:t>
      </w:r>
      <w:r>
        <w:t xml:space="preserve">, jolla IoT-järjestelmien komponenttien tulee olla uudelleenkonfiguroitavissa missä vaiheessa tahansa</w:t>
      </w:r>
    </w:p>
    <w:p>
      <w:pPr>
        <w:pStyle w:val="BodyText"/>
      </w:pPr>
      <w:r>
        <w:t xml:space="preserve">Useat määritelmät keskittyvät IoT:n perustavan laatuisiin vaatimuksiin verkottuneisuudesta ja antureista. Toisaalta uusimmissa määrittelyissä on aiempaa enemmän painotettu laitteiden ubiikkien ja autonomisten verkkojen tarvetta, joissa objektien tunnistamisella ja palveluiden integraatiolla on keskeisen tärkeä rooli. Laitteiden verkkojen lisäksi viime aikaisissa IoT:n määrittelyissä laitteiden ja verkkojen älykkyys (engl. smartness) on usein esillä. Älykkyys erottaa IoT:n määritelmän samankaltaisista konsepteista kuten anturiverkoista.</w:t>
      </w:r>
      <w:r>
        <w:t xml:space="preserve"> </w:t>
      </w:r>
      <w:r>
        <w:t xml:space="preserve">(Khodadadi, Dastjerdi &amp; Buyya 2016, s. 5)</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lukijalle käsityksen etteivät ihmiset kuuluisi sen toiminnan piiriin.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tallennuksen eivät ole tarpeeksi skaalautuvia eivätkä pysty prosessoimaan tuotettua dataa tiukkojen latenssivaatimusten puitteissa, erityisesti jos data on hajautettu useisiin kohteisiin. Tosiaikaisen prosessoinnin vaatimukset ja verkon reunan laitteiden laskentakapasiteetin kasvu ohjaavat ratkaisuita enenevissä määrin sumutietojenkäsittelyn käyttöön. Sumutietojenkäsittelyn ratkaisuilla voidaan dynaamisesti jakaa datan prosessointia lähelle käyttäjiä ja datan tuotantoa (ks. kuva __), jolloin puolestaan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2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w:t>
      </w:r>
      <w:r>
        <w:t xml:space="preserve"> </w:t>
      </w:r>
      <w:r>
        <w:t xml:space="preserve">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7"/>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 vuonna 2014 Ciscon esittämässä IoT-referenssiarkkitehtuurissa oli seitsemän kerrosta, joista verkon reunan laskenta, datan tallennus, datan abstrahointi sekä yhteistoiminta ja prosessit oli jaoteltu omiksi kerroksikseen [greenInternetThingsWorld2014].</w:t>
      </w:r>
    </w:p>
    <w:p>
      <w:pPr>
        <w:pStyle w:val="FigureWithCaption"/>
      </w:pPr>
      <w:r>
        <w:drawing>
          <wp:inline>
            <wp:extent cx="5579999" cy="1834678"/>
            <wp:effectExtent b="0" l="0" r="0" t="0"/>
            <wp:docPr descr=". Laajennettu IoT-referenssiarkkitehtuuri Khodadadi, Dastjerdi &amp; Buyya (2016) mukaan verrattuna IoT World Forum:ille esitettyy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28"/>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 IoT World Forum:ille esitettyyn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w:t>
      </w:r>
    </w:p>
    <w:p>
      <w:pPr>
        <w:pStyle w:val="BodyText"/>
      </w:pPr>
      <w:r>
        <w:t xml:space="preserve">“</w:t>
      </w:r>
      <w:r>
        <w:t xml:space="preserve">The Internet of things 2012: new horizons</w:t>
      </w:r>
      <w:r>
        <w:t xml:space="preserve">”</w:t>
      </w:r>
      <w:r>
        <w:t xml:space="preserve"> </w:t>
      </w:r>
      <w:r>
        <w:t xml:space="preserve">esitti keskeisimmät IoT-sovellusalueet(ks. kuva __).</w:t>
      </w:r>
      <w:r>
        <w:t xml:space="preserve"> </w:t>
      </w:r>
      <w:r>
        <w:t xml:space="preserve">(Vermesan, Friess &amp; Furness 2012)</w:t>
      </w:r>
    </w:p>
    <w:p>
      <w:pPr>
        <w:pStyle w:val="BodyText"/>
      </w:pPr>
      <w:r>
        <w:drawing>
          <wp:inline>
            <wp:extent cx="5579999" cy="5576075"/>
            <wp:effectExtent b="0" l="0" r="0" t="0"/>
            <wp:docPr descr=". Keskeisimmät 54 IoT:n sovellusta Vermesan, Friess &amp; Furness (2012) mukaan"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29"/>
                    <a:stretch>
                      <a:fillRect/>
                    </a:stretch>
                  </pic:blipFill>
                  <pic:spPr bwMode="auto">
                    <a:xfrm>
                      <a:off x="0" y="0"/>
                      <a:ext cx="5579999" cy="5576075"/>
                    </a:xfrm>
                    <a:prstGeom prst="rect">
                      <a:avLst/>
                    </a:prstGeom>
                    <a:noFill/>
                    <a:ln w="9525">
                      <a:noFill/>
                      <a:headEnd/>
                      <a:tailEnd/>
                    </a:ln>
                  </pic:spPr>
                </pic:pic>
              </a:graphicData>
            </a:graphic>
          </wp:inline>
        </w:drawing>
      </w:r>
      <w:r>
        <w:t xml:space="preserve"> </w:t>
      </w:r>
      <w:r>
        <w:rPr>
          <w:i/>
        </w:rPr>
        <w:t xml:space="preserve">1.7 Keskeisiä teollisuusalojen mukaan suuntautuneita IoT-sovelluksia ovat logistiikan ja liikenteen, toimitusketjun, kaluston seurannan, lentoliikenteen</w:t>
      </w:r>
    </w:p>
    <w:p>
      <w:pPr>
        <w:pStyle w:val="BodyText"/>
      </w:pPr>
      <w:r>
        <w:rPr>
          <w:i/>
        </w:rPr>
        <w:t xml:space="preserve">Elämän laadun parantamiseen kohdistuvia järjestelmiä sekä yksilön että yhteiskunnan tasolla ovat terveydenhuollon, älykkäiden kaupunkien ja rakennusten, yhteisöllisen IoT:n ratkaisut</w:t>
      </w:r>
    </w:p>
    <w:p>
      <w:pPr>
        <w:pStyle w:val="BodyText"/>
      </w:pPr>
      <w:r>
        <w:rPr>
          <w:i/>
        </w:rPr>
        <w:t xml:space="preserve">Ympäristöön keskittyviä/suuntautuvia ovat: Suuronnettomuuksien hallinnan, ympäristöntarkkailun, älykkään kastelun ja energianjakelun optimointi älykkäiden sähköverkkojen ja sähkömittarien avulla</w:t>
      </w:r>
    </w:p>
    <w:p>
      <w:pPr>
        <w:pStyle w:val="BodyText"/>
      </w:pPr>
      <w:r>
        <w:rPr>
          <w:i/>
        </w:rPr>
        <w:t xml:space="preserve">IoT sovellukset voidaan jakaa niiden käyttötarkoituksen mukaan: tarkkailu ja aktuointi, liiketoimintaprosessit ja data-analytiikka, informaation kerääminen ja yhteisöllinen käyttö</w:t>
      </w:r>
    </w:p>
    <w:p>
      <w:pPr>
        <w:pStyle w:val="BodyText"/>
      </w:pPr>
      <w:r>
        <w:rPr>
          <w:i/>
        </w:rPr>
        <w:t xml:space="preserve">1.8 Turvallisuus, 1.10 yksityisyys, 1.9 identiteetinhallinta</w:t>
      </w:r>
    </w:p>
    <w:p>
      <w:pPr>
        <w:pStyle w:val="BodyText"/>
      </w:pPr>
      <w:r>
        <w:rPr>
          <w:i/>
        </w:rPr>
        <w:t xml:space="preserve">Yoon et al. (2016)</w:t>
      </w:r>
      <w:r>
        <w:t xml:space="preserve"> </w:t>
      </w:r>
      <w:r>
        <w:rPr>
          <w:i/>
        </w:rPr>
        <w:t xml:space="preserve">…many organizations have raised the concerns about the cloud computing with respect to performance and privacy.</w:t>
      </w:r>
      <w:r>
        <w:t xml:space="preserve"> </w:t>
      </w:r>
      <w:r>
        <w:rPr>
          <w:i/>
        </w:rPr>
        <w:t xml:space="preserve">Applications that implement the device/cloud collaboration framework can yield high performance, such as reduced latency in processing a user’s request. In addition, the cost of managing the cloud can be reduced when the compute resources on the millions of smart mobile devices are utilized. Aside from the benefits in terms of cost and performance, the framework helps the application protect privacy of the end users by either processing personal data within a device or analyzing the obfuscated version of the personal data on cloud.</w:t>
      </w:r>
    </w:p>
    <w:p>
      <w:pPr>
        <w:pStyle w:val="BodyText"/>
      </w:pPr>
      <w:r>
        <w:rPr>
          <w:i/>
        </w:rPr>
        <w:t xml:space="preserve">1.11 Standardisaatio ja säännöstely</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(Khodadadi, Dastjerdi &amp; Buyya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(Khodadadi, Dastjerdi &amp; Buyya 2016, s. 7)</w:t>
      </w:r>
    </w:p>
    <w:p>
      <w:pPr>
        <w:pStyle w:val="Heading3"/>
      </w:pPr>
      <w:bookmarkStart w:id="30" w:name="teollisuuden-esineiden-internetin-eli-industrial-internet-of-thingsin-taustaa"/>
      <w:bookmarkEnd w:id="30"/>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1" w:name="maatalouden-esineiden-internetin-eli-agricultural-internet-of-thingsin-taustaa"/>
      <w:bookmarkEnd w:id="31"/>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Heading1"/>
      </w:pPr>
      <w:bookmarkStart w:id="32" w:name="opinnäytetyön-tarkoitus-tavoite-tutkimuskysymykset-ja-tutkimusmenetelmät"/>
      <w:bookmarkEnd w:id="32"/>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3" w:name="tutkimuksen-tarkoitus"/>
      <w:bookmarkEnd w:id="33"/>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4" w:name="tutkimuksen-tavoitteet"/>
      <w:bookmarkEnd w:id="34"/>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5" w:name="tutkimuskysymykset"/>
      <w:bookmarkEnd w:id="35"/>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6" w:name="tutkimusmenetelmien-valinta"/>
      <w:bookmarkEnd w:id="3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7" w:name="kirjallisuuskatsaus-tutkimusmenetelmänä"/>
      <w:bookmarkEnd w:id="3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8" w:name="kuvaileva-kirjallisuuskatsaus-tutkimusmenetelmänä"/>
      <w:bookmarkEnd w:id="3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9" w:name="teemahaastattelu-tutkimusmenetelmänä"/>
      <w:bookmarkEnd w:id="3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0" w:name="sisällönanalyysi-tutkimusmenetelmänä"/>
      <w:bookmarkEnd w:id="4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1" w:name="aineisto-ja-tutkimuksen-toteutus"/>
      <w:bookmarkEnd w:id="4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2" w:name="kuvailevan-kirjallisuuskatsauksen-toteutus"/>
      <w:bookmarkEnd w:id="42"/>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3" w:name="kirjallisuuskatsauksen-aineistojen-haku"/>
      <w:bookmarkEnd w:id="43"/>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4" w:name="teemahaastattelujen-toteutus"/>
      <w:bookmarkEnd w:id="44"/>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5" w:name="haastateltavien-valinta"/>
      <w:bookmarkEnd w:id="45"/>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6" w:name="haastattelujen-toteutukset"/>
      <w:bookmarkEnd w:id="46"/>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7" w:name="haastatteluaineiston-analyysimenetelmä"/>
      <w:bookmarkEnd w:id="47"/>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8" w:name="haastatteluaineiston-analyysi-sisällönanalyysin-menetelmillä"/>
      <w:bookmarkEnd w:id="48"/>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9" w:name="sisällönanalyysin-menetelmien-käyttö"/>
      <w:bookmarkEnd w:id="49"/>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0" w:name="haastatteluaineiston-koodaus-ja-koodien-kategorisointi"/>
      <w:bookmarkEnd w:id="50"/>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1" w:name="haastatteluaineiston-koodien-taulukointi"/>
      <w:bookmarkEnd w:id="51"/>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2" w:name="haastatteluaineiston-analysointi-taulukoitujen-tietojen-avulla"/>
      <w:bookmarkEnd w:id="52"/>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3" w:name="haastatteluaineistosta-johtopäätösten-vetäminen-analyysin-perusteella"/>
      <w:bookmarkEnd w:id="53"/>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4" w:name="tutkimustulokset"/>
      <w:bookmarkEnd w:id="54"/>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5" w:name="kirjallisuuskatsauksen-tulokset"/>
      <w:bookmarkEnd w:id="55"/>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6" w:name="yleinen-kuvailu"/>
      <w:bookmarkEnd w:id="56"/>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7"/>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8"/>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9" w:name="aiotn-teknologiat"/>
      <w:bookmarkEnd w:id="59"/>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0"/>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1" w:name="aiotn-sovellusalueet"/>
      <w:bookmarkEnd w:id="61"/>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2" w:name="valvonta"/>
      <w:bookmarkEnd w:id="62"/>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3" w:name="kontrollointi"/>
      <w:bookmarkEnd w:id="63"/>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4" w:name="logistiikka"/>
      <w:bookmarkEnd w:id="64"/>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5" w:name="ennustus"/>
      <w:bookmarkEnd w:id="65"/>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6" w:name="aiotn-avoimet-haasteet"/>
      <w:bookmarkEnd w:id="66"/>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7" w:name="standardisaation-haasteet"/>
      <w:bookmarkEnd w:id="67"/>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8" w:name="tieto--ja-kyberturvallisuuden-haasteet"/>
      <w:bookmarkEnd w:id="68"/>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9" w:name="laitteiden-energiatehokkuuden-haasteet"/>
      <w:bookmarkEnd w:id="69"/>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0" w:name="laitteiden-kestävyyden-haasteet"/>
      <w:bookmarkEnd w:id="70"/>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1" w:name="langattoman-tietoliikenteen-haasteet"/>
      <w:bookmarkEnd w:id="71"/>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2" w:name="analytiikkaratkaisuiden-ja-tietopalveluiden-haasteet"/>
      <w:bookmarkEnd w:id="72"/>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3" w:name="aiot-ekosysteemin-laajentamisen-haasteet"/>
      <w:bookmarkEnd w:id="73"/>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4" w:name="muut-tekniset-haasteet"/>
      <w:bookmarkEnd w:id="74"/>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5" w:name="muut-haasteet"/>
      <w:bookmarkEnd w:id="75"/>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6" w:name="esitetyt-aiot-arkkitehtuurit"/>
      <w:bookmarkEnd w:id="76"/>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7"/>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8"/>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9"/>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0" w:name="haastattelujen-tulokset"/>
      <w:bookmarkEnd w:id="80"/>
      <w:r>
        <w:t xml:space="preserve">Haastattelujen tulokset</w:t>
      </w:r>
    </w:p>
    <w:p>
      <w:pPr>
        <w:pStyle w:val="Heading3"/>
      </w:pPr>
      <w:bookmarkStart w:id="81" w:name="haastattelujen-tuloksien-kuvaus-teemojen-mukaan-ryhmiteltyinä"/>
      <w:bookmarkEnd w:id="81"/>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2" w:name="tietojenkäsittely"/>
      <w:bookmarkEnd w:id="82"/>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3" w:name="tietojärjestelmät-tietoliikenne-ja-alustaratkaisut"/>
      <w:bookmarkEnd w:id="83"/>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4" w:name="teknologioiden-omaksunta"/>
      <w:bookmarkEnd w:id="84"/>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5" w:name="toimintaympäristön-muutos-maatalous-toimintaympäristönä-ja-maataloustuotannon-data"/>
      <w:bookmarkEnd w:id="85"/>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6" w:name="teknologiat-teknologioiden-sovellukset-ja-standardit"/>
      <w:bookmarkEnd w:id="86"/>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7" w:name="maataloustuotannon-laitteet-ja-maataloustuotannon-tehostaminen"/>
      <w:bookmarkEnd w:id="87"/>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8" w:name="tuotteet-ja-teknologiaratkaisut"/>
      <w:bookmarkEnd w:id="88"/>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9" w:name="sisällönanalyysiin-taulukoinnin-havainnot"/>
      <w:bookmarkEnd w:id="89"/>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0"/>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1"/>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2"/>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3" w:name="haastatteluaineiston-kuvaus"/>
      <w:bookmarkEnd w:id="93"/>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4" w:name="aiotn-tilanne-yleensä"/>
      <w:bookmarkEnd w:id="94"/>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5" w:name="digitalisaatioharppauksen-alku"/>
      <w:bookmarkEnd w:id="95"/>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6" w:name="aiot-teknologioiden-omaksumisen-tilanne-suomessa"/>
      <w:bookmarkEnd w:id="96"/>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7" w:name="laitevalmistajien-yhteistyö"/>
      <w:bookmarkEnd w:id="97"/>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8" w:name="kokonaisvaltainen-maatilan-tiedonhallintajärjestelmä-fmis"/>
      <w:bookmarkEnd w:id="98"/>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9" w:name="datan-käsittely"/>
      <w:bookmarkEnd w:id="99"/>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0" w:name="datan-liikkuminen-tuotantoketjussa"/>
      <w:bookmarkEnd w:id="100"/>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1" w:name="datan-jakaminen-ja-julkaisu"/>
      <w:bookmarkEnd w:id="101"/>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2" w:name="datan-omistajuus"/>
      <w:bookmarkEnd w:id="102"/>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3" w:name="aiotn-vaikutukset"/>
      <w:bookmarkEnd w:id="103"/>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4" w:name="ruokaturva"/>
      <w:bookmarkEnd w:id="104"/>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5" w:name="aiotn-haasteet"/>
      <w:bookmarkEnd w:id="105"/>
      <w:r>
        <w:t xml:space="preserve">AIoT:n haasteet</w:t>
      </w:r>
    </w:p>
    <w:p>
      <w:pPr>
        <w:pStyle w:val="Heading5"/>
      </w:pPr>
      <w:bookmarkStart w:id="106" w:name="tietoliikenteen-ja-tietoturvan-haasteet"/>
      <w:bookmarkEnd w:id="106"/>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7" w:name="elinkaarihaasteet"/>
      <w:bookmarkEnd w:id="107"/>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8" w:name="integraatio--ja-alustahaasteet"/>
      <w:bookmarkEnd w:id="108"/>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9" w:name="käytettävyyshaasteet"/>
      <w:bookmarkEnd w:id="109"/>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0" w:name="asiantuntijuushaaste"/>
      <w:bookmarkEnd w:id="110"/>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1" w:name="omaksumisen-haasteita"/>
      <w:bookmarkEnd w:id="111"/>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2" w:name="tavoitetila-ja-tulevaisuus"/>
      <w:bookmarkEnd w:id="112"/>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3" w:name="tutkimustulosten-yhteenveto"/>
      <w:bookmarkEnd w:id="113"/>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4" w:name="tutkimuskysymyksien-vastaukset"/>
      <w:bookmarkEnd w:id="114"/>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5" w:name="pohdinta"/>
      <w:bookmarkEnd w:id="115"/>
      <w:r>
        <w:t xml:space="preserve">POHDINTA</w:t>
      </w:r>
    </w:p>
    <w:p>
      <w:pPr>
        <w:pStyle w:val="Heading2"/>
      </w:pPr>
      <w:bookmarkStart w:id="116" w:name="luotettavuus"/>
      <w:bookmarkEnd w:id="116"/>
      <w:r>
        <w:t xml:space="preserve">Luotettavuus</w:t>
      </w:r>
    </w:p>
    <w:p>
      <w:pPr>
        <w:pStyle w:val="Heading2"/>
      </w:pPr>
      <w:bookmarkStart w:id="117" w:name="hyödynnettävyys"/>
      <w:bookmarkEnd w:id="117"/>
      <w:r>
        <w:t xml:space="preserve">Hyödynnettävyys</w:t>
      </w:r>
    </w:p>
    <w:p>
      <w:pPr>
        <w:pStyle w:val="Heading1"/>
      </w:pPr>
      <w:bookmarkStart w:id="118" w:name="liitteet"/>
      <w:bookmarkEnd w:id="118"/>
      <w:r>
        <w:t xml:space="preserve">LIITTEET</w:t>
      </w:r>
    </w:p>
    <w:p>
      <w:pPr>
        <w:pStyle w:val="Heading2"/>
      </w:pPr>
      <w:bookmarkStart w:id="119" w:name="liite-__.-hakulauseiden-muodostus"/>
      <w:bookmarkEnd w:id="119"/>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0" w:name="liite-__.-koodien-havainnot-taulukoituna"/>
      <w:bookmarkEnd w:id="120"/>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1"/>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2" w:name="liite-__.-havaintojen-määrät-kategorioittain"/>
      <w:bookmarkEnd w:id="122"/>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3"/>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4"/>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5" w:name="liite-__.-tekniikka-kategorian-havainnot"/>
      <w:bookmarkEnd w:id="125"/>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6"/>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7" w:name="liite-__.-maataloustuotanto-kategorian-havainnot"/>
      <w:bookmarkEnd w:id="127"/>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8"/>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9" w:name="liite-__.-toimintaympäristö-kategorian-havainnot"/>
      <w:bookmarkEnd w:id="129"/>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0"/>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1" w:name="liite-__.-sanamäärät"/>
      <w:bookmarkEnd w:id="131"/>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2"/>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3" w:name="liite-__.-r-heatmap.2"/>
      <w:bookmarkEnd w:id="133"/>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4"/>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5" w:name="liite-__.-haastatteluteemat"/>
      <w:bookmarkEnd w:id="135"/>
      <w:r>
        <w:t xml:space="preserve">Liite __. Haastatteluteemat</w:t>
      </w:r>
    </w:p>
    <w:p>
      <w:pPr>
        <w:pStyle w:val="Heading2"/>
      </w:pPr>
      <w:bookmarkStart w:id="136" w:name="liite-__.-haastattelu1-litterointi-luottamuksellinen"/>
      <w:bookmarkEnd w:id="136"/>
      <w:r>
        <w:t xml:space="preserve">Liite __. Haastattelu1-litterointi LUOTTAMUKSELLINEN</w:t>
      </w:r>
    </w:p>
    <w:p>
      <w:pPr>
        <w:pStyle w:val="Heading2"/>
      </w:pPr>
      <w:bookmarkStart w:id="137" w:name="liite-__.-haastattelu2-litterointi-luottamuksellinen"/>
      <w:bookmarkEnd w:id="137"/>
      <w:r>
        <w:t xml:space="preserve">Liite __. Haastattelu2-litterointi LUOTTAMUKSELLINEN</w:t>
      </w:r>
    </w:p>
    <w:p>
      <w:pPr>
        <w:pStyle w:val="Heading2"/>
      </w:pPr>
      <w:bookmarkStart w:id="138" w:name="liite-__.-haastattelu3-litterointi-luottamuksellinen"/>
      <w:bookmarkEnd w:id="138"/>
      <w:r>
        <w:t xml:space="preserve">Liite __. Haastattelu3-litterointi LUOTTAMUKSELLINEN</w:t>
      </w:r>
    </w:p>
    <w:p>
      <w:pPr>
        <w:pStyle w:val="Heading2"/>
      </w:pPr>
      <w:bookmarkStart w:id="139" w:name="liite-__.-haastattelu4-litterointi-luottamuksellinen"/>
      <w:bookmarkEnd w:id="139"/>
      <w:r>
        <w:t xml:space="preserve">Liite __. Haastattelu4-litterointi LUOTTAMUKSELLINEN</w:t>
      </w:r>
    </w:p>
    <w:p>
      <w:pPr>
        <w:pStyle w:val="Heading2"/>
      </w:pPr>
      <w:bookmarkStart w:id="140" w:name="liite-__.-haastattelu5-litterointi-luottamuksellinen"/>
      <w:bookmarkEnd w:id="140"/>
      <w:r>
        <w:t xml:space="preserve">Liite __. Haastattelu5-litterointi LUOTTAMUKSELLINEN</w:t>
      </w:r>
    </w:p>
    <w:p>
      <w:pPr>
        <w:pStyle w:val="Heading2"/>
      </w:pPr>
      <w:bookmarkStart w:id="141" w:name="liite-__.-haastattelu1-teksti-luottamuksellinen"/>
      <w:bookmarkEnd w:id="141"/>
      <w:r>
        <w:t xml:space="preserve">Liite __. Haastattelu1-teksti LUOTTAMUKSELLINEN</w:t>
      </w:r>
    </w:p>
    <w:p>
      <w:pPr>
        <w:pStyle w:val="Heading2"/>
      </w:pPr>
      <w:bookmarkStart w:id="142" w:name="liite-__.-haastattelu2-teksti-luottamuksellinen"/>
      <w:bookmarkEnd w:id="142"/>
      <w:r>
        <w:t xml:space="preserve">Liite __. Haastattelu2-teksti LUOTTAMUKSELLINEN</w:t>
      </w:r>
    </w:p>
    <w:p>
      <w:pPr>
        <w:pStyle w:val="Heading2"/>
      </w:pPr>
      <w:bookmarkStart w:id="143" w:name="liite-__.-haastattelu3-teksti-luottamuksellinen"/>
      <w:bookmarkEnd w:id="143"/>
      <w:r>
        <w:t xml:space="preserve">Liite __. Haastattelu3-teksti LUOTTAMUKSELLINEN</w:t>
      </w:r>
    </w:p>
    <w:p>
      <w:pPr>
        <w:pStyle w:val="Heading2"/>
      </w:pPr>
      <w:bookmarkStart w:id="144" w:name="liite-__.-haastattelu4-teksti-luottamuksellinen"/>
      <w:bookmarkEnd w:id="144"/>
      <w:r>
        <w:t xml:space="preserve">Liite __. Haastattelu4-teksti LUOTTAMUKSELLINEN</w:t>
      </w:r>
    </w:p>
    <w:p>
      <w:pPr>
        <w:pStyle w:val="Heading2"/>
      </w:pPr>
      <w:bookmarkStart w:id="145" w:name="liite-__.-haastattelu5-teksti-luottamuksellinen"/>
      <w:bookmarkEnd w:id="145"/>
      <w:r>
        <w:t xml:space="preserve">Liite __. Haastattelu5-teksti LUOTTAMUKSELLINEN</w:t>
      </w:r>
    </w:p>
    <w:p>
      <w:pPr>
        <w:pStyle w:val="Heading2"/>
      </w:pPr>
      <w:bookmarkStart w:id="146" w:name="liite-__.-koodien-havainnot-haastatteluaineistossa"/>
      <w:bookmarkEnd w:id="146"/>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7" w:name="lahteet"/>
      <w:bookmarkEnd w:id="147"/>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8">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9">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0">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1">
        <w:r>
          <w:rPr>
            <w:rStyle w:val="Hyperlink"/>
          </w:rPr>
          <w:t xml:space="preserve">10.1016/j.compag.2013.08.001</w:t>
        </w:r>
      </w:hyperlink>
      <w:r>
        <w:t xml:space="preserve">.</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5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3">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4">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5">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6">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7">
        <w:r>
          <w:rPr>
            <w:rStyle w:val="Hyperlink"/>
          </w:rPr>
          <w:t xml:space="preserve">https://hbr.org/2014/11/how-smart-connected-products-are-transforming-competition</w:t>
        </w:r>
      </w:hyperlink>
      <w:r>
        <w:t xml:space="preserve"> </w:t>
      </w:r>
      <w:r>
        <w:t xml:space="preserve">[2018-04-29].</w:t>
      </w:r>
    </w:p>
    <w:p>
      <w:pPr>
        <w:pStyle w:val="Bibliography"/>
      </w:pPr>
      <w:r>
        <w:t xml:space="preserve">Sakamura, K. (1987). The Tron Project.</w:t>
      </w:r>
      <w:r>
        <w:t xml:space="preserve"> </w:t>
      </w:r>
      <w:r>
        <w:rPr>
          <w:i/>
        </w:rPr>
        <w:t xml:space="preserve">IEEE Micro</w:t>
      </w:r>
      <w:r>
        <w:t xml:space="preserve">, 7(2), s. 8–14, doi:</w:t>
      </w:r>
      <w:hyperlink r:id="rId158">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59">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60">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61">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62">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63">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64">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Vermesan, O., Friess, P. &amp; Furness, A. (2012).</w:t>
      </w:r>
      <w:r>
        <w:t xml:space="preserve"> </w:t>
      </w:r>
      <w:r>
        <w:rPr>
          <w:i/>
        </w:rPr>
        <w:t xml:space="preserve">The Internet of Things 2012: New Horizons</w:t>
      </w:r>
      <w:r>
        <w:t xml:space="preserve">. CASAGRAS2.</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65">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6d1570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40e7a4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d1328ee9"/>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bcc7d6b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c214358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a477cbdc"/>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306a2c3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ffa7f7ed"/>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9" Target="media/rId79.png" /><Relationship Type="http://schemas.openxmlformats.org/officeDocument/2006/relationships/image" Id="rId57" Target="media/rId57.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4" Target="media/rId134.png" /><Relationship Type="http://schemas.openxmlformats.org/officeDocument/2006/relationships/image" Id="rId132" Target="media/rId13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29" Target="media/rId29.png" /><Relationship Type="http://schemas.openxmlformats.org/officeDocument/2006/relationships/image" Id="rId60" Target="media/rId60.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25" Target="media/rId25.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hyperlink" Id="rId165" Target="https://doi.org/10.1016/j.agsy.2017.01.023" TargetMode="External" /><Relationship Type="http://schemas.openxmlformats.org/officeDocument/2006/relationships/hyperlink" Id="rId164" Target="https://doi.org/10.1016/j.biosystemseng.2017.09.007" TargetMode="External" /><Relationship Type="http://schemas.openxmlformats.org/officeDocument/2006/relationships/hyperlink" Id="rId148" Target="https://doi.org/10.1016/j.comnet.2010.05.010" TargetMode="External" /><Relationship Type="http://schemas.openxmlformats.org/officeDocument/2006/relationships/hyperlink" Id="rId151" Target="https://doi.org/10.1016/j.compag.2013.08.001" TargetMode="External" /><Relationship Type="http://schemas.openxmlformats.org/officeDocument/2006/relationships/hyperlink" Id="rId160" Target="https://doi.org/10.1016/j.compag.2017.09.015" TargetMode="External" /><Relationship Type="http://schemas.openxmlformats.org/officeDocument/2006/relationships/hyperlink" Id="rId154" Target="https://doi.org/10.1016/j.compag.2017.09.037" TargetMode="External" /><Relationship Type="http://schemas.openxmlformats.org/officeDocument/2006/relationships/hyperlink" Id="rId152" Target="https://doi.org/10.1016/j.future.2013.01.010" TargetMode="External" /><Relationship Type="http://schemas.openxmlformats.org/officeDocument/2006/relationships/hyperlink" Id="rId149" Target="https://doi.org/10.1016/j.inpa.2015.04.002" TargetMode="External" /><Relationship Type="http://schemas.openxmlformats.org/officeDocument/2006/relationships/hyperlink" Id="rId161" Target="https://doi.org/10.1016/j.jii.2016.03.001" TargetMode="External" /><Relationship Type="http://schemas.openxmlformats.org/officeDocument/2006/relationships/hyperlink" Id="rId153" Target="https://doi.org/10.1016/j.protcy.2013.11.009" TargetMode="External" /><Relationship Type="http://schemas.openxmlformats.org/officeDocument/2006/relationships/hyperlink" Id="rId150" Target="https://doi.org/10.1037/1089-2680.1.3.311" TargetMode="External" /><Relationship Type="http://schemas.openxmlformats.org/officeDocument/2006/relationships/hyperlink" Id="rId159" Target="https://doi.org/10.1109/JRPROC.1948.226245" TargetMode="External" /><Relationship Type="http://schemas.openxmlformats.org/officeDocument/2006/relationships/hyperlink" Id="rId158" Target="https://doi.org/10.1109/MM.1987.304835" TargetMode="External" /><Relationship Type="http://schemas.openxmlformats.org/officeDocument/2006/relationships/hyperlink" Id="rId155" Target="https://doi.org/10.1109/TII.2014.2300753" TargetMode="External" /><Relationship Type="http://schemas.openxmlformats.org/officeDocument/2006/relationships/hyperlink" Id="rId157" Target="https://hbr.org/2014/11/how-smart-connected-products-are-transforming-competition" TargetMode="External" /><Relationship Type="http://schemas.openxmlformats.org/officeDocument/2006/relationships/hyperlink" Id="rId156" Target="https://www.cs.cmu.edu/~coke/history_long.txt" TargetMode="External" /><Relationship Type="http://schemas.openxmlformats.org/officeDocument/2006/relationships/hyperlink" Id="rId162" Target="https://www.ibm.com/blogs/industries/little-known-story-first-iot-device/" TargetMode="External" /><Relationship Type="http://schemas.openxmlformats.org/officeDocument/2006/relationships/hyperlink" Id="rId16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65" Target="https://doi.org/10.1016/j.agsy.2017.01.023" TargetMode="External" /><Relationship Type="http://schemas.openxmlformats.org/officeDocument/2006/relationships/hyperlink" Id="rId164" Target="https://doi.org/10.1016/j.biosystemseng.2017.09.007" TargetMode="External" /><Relationship Type="http://schemas.openxmlformats.org/officeDocument/2006/relationships/hyperlink" Id="rId148" Target="https://doi.org/10.1016/j.comnet.2010.05.010" TargetMode="External" /><Relationship Type="http://schemas.openxmlformats.org/officeDocument/2006/relationships/hyperlink" Id="rId151" Target="https://doi.org/10.1016/j.compag.2013.08.001" TargetMode="External" /><Relationship Type="http://schemas.openxmlformats.org/officeDocument/2006/relationships/hyperlink" Id="rId160" Target="https://doi.org/10.1016/j.compag.2017.09.015" TargetMode="External" /><Relationship Type="http://schemas.openxmlformats.org/officeDocument/2006/relationships/hyperlink" Id="rId154" Target="https://doi.org/10.1016/j.compag.2017.09.037" TargetMode="External" /><Relationship Type="http://schemas.openxmlformats.org/officeDocument/2006/relationships/hyperlink" Id="rId152" Target="https://doi.org/10.1016/j.future.2013.01.010" TargetMode="External" /><Relationship Type="http://schemas.openxmlformats.org/officeDocument/2006/relationships/hyperlink" Id="rId149" Target="https://doi.org/10.1016/j.inpa.2015.04.002" TargetMode="External" /><Relationship Type="http://schemas.openxmlformats.org/officeDocument/2006/relationships/hyperlink" Id="rId161" Target="https://doi.org/10.1016/j.jii.2016.03.001" TargetMode="External" /><Relationship Type="http://schemas.openxmlformats.org/officeDocument/2006/relationships/hyperlink" Id="rId153" Target="https://doi.org/10.1016/j.protcy.2013.11.009" TargetMode="External" /><Relationship Type="http://schemas.openxmlformats.org/officeDocument/2006/relationships/hyperlink" Id="rId150" Target="https://doi.org/10.1037/1089-2680.1.3.311" TargetMode="External" /><Relationship Type="http://schemas.openxmlformats.org/officeDocument/2006/relationships/hyperlink" Id="rId159" Target="https://doi.org/10.1109/JRPROC.1948.226245" TargetMode="External" /><Relationship Type="http://schemas.openxmlformats.org/officeDocument/2006/relationships/hyperlink" Id="rId158" Target="https://doi.org/10.1109/MM.1987.304835" TargetMode="External" /><Relationship Type="http://schemas.openxmlformats.org/officeDocument/2006/relationships/hyperlink" Id="rId155" Target="https://doi.org/10.1109/TII.2014.2300753" TargetMode="External" /><Relationship Type="http://schemas.openxmlformats.org/officeDocument/2006/relationships/hyperlink" Id="rId157" Target="https://hbr.org/2014/11/how-smart-connected-products-are-transforming-competition" TargetMode="External" /><Relationship Type="http://schemas.openxmlformats.org/officeDocument/2006/relationships/hyperlink" Id="rId156" Target="https://www.cs.cmu.edu/~coke/history_long.txt" TargetMode="External" /><Relationship Type="http://schemas.openxmlformats.org/officeDocument/2006/relationships/hyperlink" Id="rId162" Target="https://www.ibm.com/blogs/industries/little-known-story-first-iot-device/" TargetMode="External" /><Relationship Type="http://schemas.openxmlformats.org/officeDocument/2006/relationships/hyperlink" Id="rId16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2018-10-22T19:08:19Z</dcterms:created>
  <dcterms:modified xsi:type="dcterms:W3CDTF">2018-10-22T19:08:19Z</dcterms:modified>
</cp:coreProperties>
</file>